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17A1" w:rsidRPr="00D217A1" w:rsidTr="00D217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7A1" w:rsidRPr="00D217A1" w:rsidRDefault="00D217A1">
            <w:pPr>
              <w:pStyle w:val="ConsPlusNormal"/>
            </w:pPr>
            <w:r w:rsidRPr="00D217A1">
              <w:t>31 октября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17A1" w:rsidRPr="00D217A1" w:rsidRDefault="00D217A1">
            <w:pPr>
              <w:pStyle w:val="ConsPlusNormal"/>
              <w:jc w:val="right"/>
            </w:pPr>
            <w:r w:rsidRPr="00D217A1">
              <w:t>№ 149-ОЗ</w:t>
            </w:r>
          </w:p>
        </w:tc>
      </w:tr>
    </w:tbl>
    <w:p w:rsidR="00D217A1" w:rsidRPr="00D217A1" w:rsidRDefault="00D217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Title"/>
        <w:jc w:val="center"/>
      </w:pPr>
      <w:r w:rsidRPr="00D217A1">
        <w:t>НОВГОРОДСКАЯ ОБЛАСТЬ</w:t>
      </w:r>
    </w:p>
    <w:p w:rsidR="00D217A1" w:rsidRPr="00D217A1" w:rsidRDefault="00D217A1">
      <w:pPr>
        <w:pStyle w:val="ConsPlusTitle"/>
        <w:jc w:val="center"/>
      </w:pPr>
    </w:p>
    <w:p w:rsidR="00D217A1" w:rsidRPr="00D217A1" w:rsidRDefault="00D217A1">
      <w:pPr>
        <w:pStyle w:val="ConsPlusTitle"/>
        <w:jc w:val="center"/>
      </w:pPr>
      <w:r w:rsidRPr="00D217A1">
        <w:t>ОБЛАСТНОЙ ЗАКОН</w:t>
      </w:r>
    </w:p>
    <w:p w:rsidR="00D217A1" w:rsidRPr="00D217A1" w:rsidRDefault="00D217A1">
      <w:pPr>
        <w:pStyle w:val="ConsPlusTitle"/>
        <w:jc w:val="center"/>
      </w:pPr>
    </w:p>
    <w:p w:rsidR="00D217A1" w:rsidRPr="00D217A1" w:rsidRDefault="00D217A1">
      <w:pPr>
        <w:pStyle w:val="ConsPlusTitle"/>
        <w:jc w:val="center"/>
      </w:pPr>
      <w:r w:rsidRPr="00D217A1">
        <w:t>О ПАТЕНТНОЙ СИСТЕМЕ НАЛОГООБЛОЖЕНИЯ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jc w:val="right"/>
      </w:pPr>
      <w:proofErr w:type="gramStart"/>
      <w:r w:rsidRPr="00D217A1">
        <w:t>Принят</w:t>
      </w:r>
      <w:proofErr w:type="gramEnd"/>
    </w:p>
    <w:p w:rsidR="00D217A1" w:rsidRPr="00D217A1" w:rsidRDefault="00D217A1">
      <w:pPr>
        <w:pStyle w:val="ConsPlusNormal"/>
        <w:jc w:val="right"/>
      </w:pPr>
      <w:hyperlink r:id="rId5" w:history="1">
        <w:r w:rsidRPr="00D217A1">
          <w:t>Постановлением</w:t>
        </w:r>
      </w:hyperlink>
    </w:p>
    <w:p w:rsidR="00D217A1" w:rsidRPr="00D217A1" w:rsidRDefault="00D217A1">
      <w:pPr>
        <w:pStyle w:val="ConsPlusNormal"/>
        <w:jc w:val="right"/>
      </w:pPr>
      <w:r w:rsidRPr="00D217A1">
        <w:t>Новгородской областной Думы</w:t>
      </w:r>
    </w:p>
    <w:p w:rsidR="00D217A1" w:rsidRPr="00D217A1" w:rsidRDefault="00D217A1">
      <w:pPr>
        <w:pStyle w:val="ConsPlusNormal"/>
        <w:jc w:val="right"/>
      </w:pPr>
      <w:r w:rsidRPr="00D217A1">
        <w:t>от 24.10.2012 № 305-5 ОД</w:t>
      </w:r>
    </w:p>
    <w:p w:rsidR="00D217A1" w:rsidRPr="00D217A1" w:rsidRDefault="00D217A1" w:rsidP="00D217A1">
      <w:pPr>
        <w:pStyle w:val="ConsPlusNormal"/>
        <w:jc w:val="center"/>
      </w:pPr>
      <w:r w:rsidRPr="00D217A1">
        <w:t>Список изменяющих документов</w:t>
      </w:r>
    </w:p>
    <w:p w:rsidR="00D217A1" w:rsidRPr="00D217A1" w:rsidRDefault="00D217A1" w:rsidP="00D217A1">
      <w:pPr>
        <w:pStyle w:val="ConsPlusNormal"/>
        <w:jc w:val="center"/>
      </w:pPr>
      <w:proofErr w:type="gramStart"/>
      <w:r w:rsidRPr="00D217A1">
        <w:t>(в ред. областных законов Новгородской области</w:t>
      </w:r>
      <w:proofErr w:type="gramEnd"/>
    </w:p>
    <w:p w:rsidR="00D217A1" w:rsidRPr="00D217A1" w:rsidRDefault="00D217A1" w:rsidP="00D217A1">
      <w:pPr>
        <w:pStyle w:val="ConsPlusNormal"/>
        <w:jc w:val="center"/>
      </w:pPr>
      <w:r w:rsidRPr="00D217A1">
        <w:t>от 04.03.2014 № 493-ОЗ, от 23.10.2014 № 631-ОЗ, от 29.05.2015 № 770-ОЗ,</w:t>
      </w:r>
    </w:p>
    <w:p w:rsidR="00D217A1" w:rsidRPr="00D217A1" w:rsidRDefault="00D217A1" w:rsidP="00D217A1">
      <w:pPr>
        <w:pStyle w:val="ConsPlusNormal"/>
        <w:jc w:val="center"/>
      </w:pPr>
      <w:r w:rsidRPr="00D217A1">
        <w:t>от 02.11.2015 № 863-ОЗ, от 26.11.2018 № 335-ОЗ, от 28.11.2019 № 479-ОЗ,</w:t>
      </w:r>
    </w:p>
    <w:p w:rsidR="00D217A1" w:rsidRPr="00D217A1" w:rsidRDefault="00D217A1" w:rsidP="00D217A1">
      <w:pPr>
        <w:pStyle w:val="ConsPlusNormal"/>
        <w:jc w:val="center"/>
      </w:pPr>
      <w:r w:rsidRPr="00D217A1">
        <w:t>от 24.04.2020 № 552-ОЗ, от 28.07.2020 № 592-ОЗ, от 01.12.2020 № 638-ОЗ,</w:t>
      </w:r>
    </w:p>
    <w:p w:rsidR="00D217A1" w:rsidRPr="00D217A1" w:rsidRDefault="00D217A1" w:rsidP="00D217A1">
      <w:pPr>
        <w:spacing w:after="1"/>
        <w:jc w:val="center"/>
      </w:pPr>
      <w:r w:rsidRPr="00D217A1">
        <w:t>от 26.12.2020 № 662-ОЗ, от 29.04.2021 № 713-ОЗ)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Title"/>
        <w:ind w:firstLine="540"/>
        <w:jc w:val="both"/>
        <w:outlineLvl w:val="0"/>
      </w:pPr>
      <w:r w:rsidRPr="00D217A1">
        <w:t>Статья 1. Общие положения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ind w:firstLine="540"/>
        <w:jc w:val="both"/>
      </w:pPr>
      <w:r w:rsidRPr="00D217A1">
        <w:t>Настоящим областным законом в соответствии с главой 26.5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D217A1" w:rsidRPr="00D217A1" w:rsidRDefault="00D217A1">
      <w:pPr>
        <w:pStyle w:val="ConsPlusNormal"/>
        <w:jc w:val="both"/>
      </w:pPr>
      <w:r w:rsidRPr="00D217A1">
        <w:t>(в ред. Областного закона Новгородской области от 26.12.2020 № 662-ОЗ)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Title"/>
        <w:ind w:firstLine="540"/>
        <w:jc w:val="both"/>
        <w:outlineLvl w:val="0"/>
      </w:pPr>
      <w:r w:rsidRPr="00D217A1">
        <w:t>Статья 2. Размеры потенциально возможного к получению индивидуальным предпринимателем годового дохода</w:t>
      </w:r>
    </w:p>
    <w:p w:rsidR="00D217A1" w:rsidRPr="00D217A1" w:rsidRDefault="00D217A1">
      <w:pPr>
        <w:pStyle w:val="ConsPlusNormal"/>
        <w:ind w:firstLine="540"/>
        <w:jc w:val="both"/>
      </w:pPr>
      <w:r w:rsidRPr="00D217A1">
        <w:t>(в ред. Областного закона Новгородской области от 29.04.2021 № 713-ОЗ)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ind w:firstLine="540"/>
        <w:jc w:val="both"/>
      </w:pPr>
      <w:r w:rsidRPr="00D217A1"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D217A1" w:rsidRPr="00D217A1" w:rsidRDefault="00D21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98"/>
        <w:gridCol w:w="3005"/>
        <w:gridCol w:w="1587"/>
      </w:tblGrid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 xml:space="preserve">№ </w:t>
            </w:r>
            <w:proofErr w:type="gramStart"/>
            <w:r w:rsidRPr="00D217A1">
              <w:t>п</w:t>
            </w:r>
            <w:proofErr w:type="gramEnd"/>
            <w:r w:rsidRPr="00D217A1">
              <w:t>/п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Виды предпринимательской деятельности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Физические показатели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Размер потенциально возможного годового дохода (рублей)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lastRenderedPageBreak/>
              <w:t>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ремонт, чистка, окраска и пошив обуви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парикмахерские и косметические услуги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мебели и предметов домашнего обихода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в области фотографии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 xml:space="preserve">ремонт, техническое обслуживание автотранспортных и </w:t>
            </w:r>
            <w:proofErr w:type="spellStart"/>
            <w:r w:rsidRPr="00D217A1">
              <w:t>мототранспортных</w:t>
            </w:r>
            <w:proofErr w:type="spellEnd"/>
            <w:r w:rsidRPr="00D217A1">
              <w:t xml:space="preserve"> средств, мотоциклов, машин и оборудования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9.1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9.2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 xml:space="preserve">техническое обслуживание и ремонт автотранспортных средств, в части </w:t>
            </w:r>
            <w:proofErr w:type="spellStart"/>
            <w:r w:rsidRPr="00D217A1">
              <w:t>шиномонтажа</w:t>
            </w:r>
            <w:proofErr w:type="spellEnd"/>
            <w:r w:rsidRPr="00D217A1">
              <w:t xml:space="preserve"> и всех видов связанных с ним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сбор тары и пригодных для вторичного использования материалов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ветеринарная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ювелирных изделий, бижутерии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чеканка и гравировка ювелирных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931223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платных туалетов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proofErr w:type="gramStart"/>
            <w:r w:rsidRPr="00D217A1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по благоустройству ландшафта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"Об обращении лекарственных средств"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прокату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экскурсионные туристические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787933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организация обрядов (свадеб, юбилеев), в том числе музыкальное сопровождение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931223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кожи и изделий из кожи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 xml:space="preserve">сбор и заготовка пищевых лесных ресурсов, </w:t>
            </w:r>
            <w:proofErr w:type="spellStart"/>
            <w:r w:rsidRPr="00D217A1">
              <w:t>недревесных</w:t>
            </w:r>
            <w:proofErr w:type="spellEnd"/>
            <w:r w:rsidRPr="00D217A1">
              <w:t xml:space="preserve"> лесных ресурсов и лекарственных растений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молочной продукции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D217A1">
              <w:t>web</w:t>
            </w:r>
            <w:proofErr w:type="spellEnd"/>
            <w:r w:rsidRPr="00D217A1">
              <w:t>-страниц, включая их адаптацию и модификацию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уходу за домашними животными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изготовлению валяной обуви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игрушек и подобных им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сборка и ремонт очков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переплетные, брошюровочные, окантовочные, картонажные работы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 xml:space="preserve">услуги по ремонту сифонов и </w:t>
            </w:r>
            <w:proofErr w:type="spellStart"/>
            <w:r w:rsidRPr="00D217A1">
              <w:t>автосифонов</w:t>
            </w:r>
            <w:proofErr w:type="spellEnd"/>
            <w:r w:rsidRPr="00D217A1">
              <w:t>, в том числе зарядка газовых баллончиков для сифонов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бижутерии и подобных товаров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работы столярные и плотничные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кровельных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велосипедов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гостиниц и прочих мест для временного проживания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сборных деревянных строений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деревянной тары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86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малярных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87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стекольных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88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производство штукатурных работ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89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90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91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831233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физкультурно-оздоровительная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93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94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95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без привлечения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781233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bookmarkStart w:id="0" w:name="P621"/>
            <w:bookmarkEnd w:id="0"/>
            <w:r w:rsidRPr="00D217A1">
              <w:t>96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единицу судов водного транспорта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bookmarkStart w:id="1" w:name="P625"/>
            <w:bookmarkEnd w:id="1"/>
            <w:r w:rsidRPr="00D217A1">
              <w:t>97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единицу судов водного транспорта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98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</w:pP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98.1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жилых помещений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6000</w:t>
            </w:r>
          </w:p>
        </w:tc>
      </w:tr>
      <w:tr w:rsidR="00D217A1" w:rsidRPr="00D217A1">
        <w:tc>
          <w:tcPr>
            <w:tcW w:w="680" w:type="dxa"/>
            <w:vMerge w:val="restart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98.2</w:t>
            </w:r>
          </w:p>
        </w:tc>
        <w:tc>
          <w:tcPr>
            <w:tcW w:w="3798" w:type="dxa"/>
            <w:vMerge w:val="restart"/>
          </w:tcPr>
          <w:p w:rsidR="00D217A1" w:rsidRPr="00D217A1" w:rsidRDefault="00D217A1">
            <w:pPr>
              <w:pStyle w:val="ConsPlusNormal"/>
            </w:pPr>
            <w:r w:rsidRPr="00D217A1"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12000</w:t>
            </w:r>
          </w:p>
        </w:tc>
      </w:tr>
      <w:tr w:rsidR="00D217A1" w:rsidRPr="00D217A1">
        <w:tc>
          <w:tcPr>
            <w:tcW w:w="680" w:type="dxa"/>
            <w:vMerge/>
          </w:tcPr>
          <w:p w:rsidR="00D217A1" w:rsidRPr="00D217A1" w:rsidRDefault="00D217A1"/>
        </w:tc>
        <w:tc>
          <w:tcPr>
            <w:tcW w:w="3798" w:type="dxa"/>
            <w:vMerge/>
          </w:tcPr>
          <w:p w:rsidR="00D217A1" w:rsidRPr="00D217A1" w:rsidRDefault="00D217A1"/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1500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99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bookmarkStart w:id="2" w:name="P647"/>
            <w:bookmarkEnd w:id="2"/>
            <w:r w:rsidRPr="00D217A1">
              <w:t>100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объект торговой сети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101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102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103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bookmarkStart w:id="3" w:name="P663"/>
            <w:bookmarkEnd w:id="3"/>
            <w:r w:rsidRPr="00D217A1">
              <w:t>104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единицу автотранспортных средств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bookmarkStart w:id="4" w:name="P667"/>
            <w:bookmarkEnd w:id="4"/>
            <w:r w:rsidRPr="00D217A1">
              <w:t>105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единицу автотранспортных средств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300000</w:t>
            </w:r>
          </w:p>
        </w:tc>
      </w:tr>
      <w:tr w:rsidR="00D217A1" w:rsidRPr="00D217A1">
        <w:tc>
          <w:tcPr>
            <w:tcW w:w="68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106</w:t>
            </w:r>
          </w:p>
        </w:tc>
        <w:tc>
          <w:tcPr>
            <w:tcW w:w="3798" w:type="dxa"/>
          </w:tcPr>
          <w:p w:rsidR="00D217A1" w:rsidRPr="00D217A1" w:rsidRDefault="00D217A1">
            <w:pPr>
              <w:pStyle w:val="ConsPlusNormal"/>
            </w:pPr>
            <w:r w:rsidRPr="00D217A1"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:rsidR="00D217A1" w:rsidRPr="00D217A1" w:rsidRDefault="00D217A1">
            <w:pPr>
              <w:pStyle w:val="ConsPlusNormal"/>
            </w:pPr>
            <w:r w:rsidRPr="00D217A1">
              <w:t>на единицу автотранспортных средств</w:t>
            </w:r>
          </w:p>
        </w:tc>
        <w:tc>
          <w:tcPr>
            <w:tcW w:w="1587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240000</w:t>
            </w:r>
          </w:p>
        </w:tc>
      </w:tr>
    </w:tbl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ind w:firstLine="540"/>
        <w:jc w:val="both"/>
      </w:pPr>
      <w:r w:rsidRPr="00D217A1">
        <w:t xml:space="preserve">2. </w:t>
      </w:r>
      <w:proofErr w:type="gramStart"/>
      <w:r w:rsidRPr="00D217A1">
        <w:t xml:space="preserve">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621" w:history="1">
        <w:r w:rsidRPr="00D217A1">
          <w:t>строках 96</w:t>
        </w:r>
      </w:hyperlink>
      <w:r w:rsidRPr="00D217A1">
        <w:t xml:space="preserve">, </w:t>
      </w:r>
      <w:hyperlink w:anchor="P625" w:history="1">
        <w:r w:rsidRPr="00D217A1">
          <w:t>97</w:t>
        </w:r>
      </w:hyperlink>
      <w:r w:rsidRPr="00D217A1">
        <w:t xml:space="preserve">, 100 (в части, касающейся развозной и разносной розничной торговли), </w:t>
      </w:r>
      <w:hyperlink w:anchor="P663" w:history="1">
        <w:r w:rsidRPr="00D217A1">
          <w:t>104</w:t>
        </w:r>
      </w:hyperlink>
      <w:r w:rsidRPr="00D217A1">
        <w:t xml:space="preserve">, </w:t>
      </w:r>
      <w:hyperlink w:anchor="P667" w:history="1">
        <w:r w:rsidRPr="00D217A1">
          <w:t>105 части 1</w:t>
        </w:r>
      </w:hyperlink>
      <w:r w:rsidRPr="00D217A1">
        <w:t xml:space="preserve">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  <w:proofErr w:type="gramEnd"/>
    </w:p>
    <w:p w:rsidR="00D217A1" w:rsidRPr="00D217A1" w:rsidRDefault="00D21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020"/>
        <w:gridCol w:w="5102"/>
        <w:gridCol w:w="2268"/>
      </w:tblGrid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 xml:space="preserve">№ </w:t>
            </w:r>
            <w:proofErr w:type="gramStart"/>
            <w:r w:rsidRPr="00D217A1">
              <w:t>п</w:t>
            </w:r>
            <w:proofErr w:type="gramEnd"/>
            <w:r w:rsidRPr="00D217A1">
              <w:t>/п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Группа муниципальных образований Новгородской области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r w:rsidRPr="00D217A1">
              <w:t>городской округ Великий Новгород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1.0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2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II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r w:rsidRPr="00D217A1">
              <w:t xml:space="preserve">городское поселение город Боровичи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0.9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3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III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r w:rsidRPr="00D217A1">
              <w:t>Валдайское городское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городское поселение город Старая Русса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Пестовское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0.8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4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IV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r w:rsidRPr="00D217A1">
              <w:t xml:space="preserve">городское поселение город Чудово </w:t>
            </w:r>
            <w:proofErr w:type="spellStart"/>
            <w:r w:rsidRPr="00D217A1">
              <w:t>Чудовского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Ермолинское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Маловишерское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Маловишерского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Окуловское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Панковское городское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Савинское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Солецкий</w:t>
            </w:r>
            <w:proofErr w:type="spellEnd"/>
            <w:r w:rsidRPr="00D217A1">
              <w:t xml:space="preserve"> муниципальный округ Новгородской области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Трубичинское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Хвойнинский</w:t>
            </w:r>
            <w:proofErr w:type="spellEnd"/>
            <w:r w:rsidRPr="00D217A1">
              <w:t xml:space="preserve"> муниципальный округ Новгородской области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0.7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5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V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Крестецкое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Крестецкого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Любытинское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Любытинского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Парфинское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Парфинского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Пролетарское городское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Тёсово-Нетыльское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Шимское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Шимского</w:t>
            </w:r>
            <w:proofErr w:type="spellEnd"/>
            <w:r w:rsidRPr="00D217A1">
              <w:t xml:space="preserve">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0.6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6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VI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Бронницкое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Волотовский</w:t>
            </w:r>
            <w:proofErr w:type="spellEnd"/>
            <w:r w:rsidRPr="00D217A1">
              <w:t xml:space="preserve"> муниципальный округ Новгородской области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Демянское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Марёвский</w:t>
            </w:r>
            <w:proofErr w:type="spellEnd"/>
            <w:r w:rsidRPr="00D217A1">
              <w:t xml:space="preserve"> муниципальный округ Новгородской области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Наговское</w:t>
            </w:r>
            <w:proofErr w:type="spellEnd"/>
            <w:r w:rsidRPr="00D217A1">
              <w:t xml:space="preserve">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Неболчское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Любытинского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Холмское</w:t>
            </w:r>
            <w:proofErr w:type="spellEnd"/>
            <w:r w:rsidRPr="00D217A1">
              <w:t xml:space="preserve"> городское поселение Холмского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0.5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7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VII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Батецкое</w:t>
            </w:r>
            <w:proofErr w:type="spellEnd"/>
            <w:r w:rsidRPr="00D217A1">
              <w:t xml:space="preserve"> сельское поселение Батецкого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Большевишерское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Маловишерского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Борковское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Боровёнковское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Бургинское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Маловишерского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Великосельское</w:t>
            </w:r>
            <w:proofErr w:type="spellEnd"/>
            <w:r w:rsidRPr="00D217A1">
              <w:t xml:space="preserve">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Волокское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Грузинское сельское поселение </w:t>
            </w:r>
            <w:proofErr w:type="spellStart"/>
            <w:r w:rsidRPr="00D217A1">
              <w:t>Чудовского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Ёгольское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Едровское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Железковское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Залучское</w:t>
            </w:r>
            <w:proofErr w:type="spellEnd"/>
            <w:r w:rsidRPr="00D217A1">
              <w:t xml:space="preserve">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Калининское сельское поселение Мошенского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Кировское сельское поселение Мошенского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Кневицкое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Котовское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Кулотинское</w:t>
            </w:r>
            <w:proofErr w:type="spellEnd"/>
            <w:r w:rsidRPr="00D217A1">
              <w:t xml:space="preserve"> городское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Лесновское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Лычковское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Медведское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Шимского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Медниковское</w:t>
            </w:r>
            <w:proofErr w:type="spellEnd"/>
            <w:r w:rsidRPr="00D217A1">
              <w:t xml:space="preserve">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Мойкинское</w:t>
            </w:r>
            <w:proofErr w:type="spellEnd"/>
            <w:r w:rsidRPr="00D217A1">
              <w:t xml:space="preserve"> сельское поселение Батецкого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Мошенское сельское поселение Мошенского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Новорахинское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Крестецского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Новосельское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Опеченское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Перёдское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Пестовское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Подгощское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Шимского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Поддорское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Поддорского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Полавское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Парфинского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Прогресское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Ракомское</w:t>
            </w:r>
            <w:proofErr w:type="spellEnd"/>
            <w:r w:rsidRPr="00D217A1">
              <w:t xml:space="preserve"> сельское поселение Новгородского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Сушанское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Трегубовское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Чудовского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Угловское городское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Успенское сельское поселение </w:t>
            </w:r>
            <w:proofErr w:type="spellStart"/>
            <w:r w:rsidRPr="00D217A1">
              <w:t>Чудовского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Уторгошское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Шимского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Федорковское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Парфинского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Яжелбицкое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0.3</w:t>
            </w:r>
          </w:p>
        </w:tc>
      </w:tr>
      <w:tr w:rsidR="00D217A1" w:rsidRPr="00D217A1">
        <w:tc>
          <w:tcPr>
            <w:tcW w:w="662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8</w:t>
            </w:r>
          </w:p>
        </w:tc>
        <w:tc>
          <w:tcPr>
            <w:tcW w:w="1020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VIII</w:t>
            </w:r>
          </w:p>
        </w:tc>
        <w:tc>
          <w:tcPr>
            <w:tcW w:w="5102" w:type="dxa"/>
          </w:tcPr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Белебёлковское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Поддорского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Березовикское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Богословское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Быковское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Веребьинское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Маловишерского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Взвадское</w:t>
            </w:r>
            <w:proofErr w:type="spellEnd"/>
            <w:r w:rsidRPr="00D217A1">
              <w:t xml:space="preserve">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Вятское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Долговское сельское поселение Мошенского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Жирковское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Зайцевское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Крестецкого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Ивановское сельское поселение Старорусского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Ивантеевское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Ильиногорское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Кончанско</w:t>
            </w:r>
            <w:proofErr w:type="spellEnd"/>
            <w:r w:rsidRPr="00D217A1">
              <w:t xml:space="preserve">-Суворовское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Короцкое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Костковское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Красноборское</w:t>
            </w:r>
            <w:proofErr w:type="spellEnd"/>
            <w:r w:rsidRPr="00D217A1">
              <w:t xml:space="preserve"> сельское поселение Холмского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Лаптевское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Любницкое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Морховское</w:t>
            </w:r>
            <w:proofErr w:type="spellEnd"/>
            <w:r w:rsidRPr="00D217A1">
              <w:t xml:space="preserve"> сельское поселение Холмского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Ореховское</w:t>
            </w:r>
            <w:proofErr w:type="spellEnd"/>
            <w:r w:rsidRPr="00D217A1">
              <w:t xml:space="preserve"> сельское поселение Мошенского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Охонское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Передольское</w:t>
            </w:r>
            <w:proofErr w:type="spellEnd"/>
            <w:r w:rsidRPr="00D217A1">
              <w:t xml:space="preserve"> сельское поселение Батецкого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Песоцкое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Полновское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>Рощинское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Ручьевское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Крестецкого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Селеевское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Поддорского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Семёновщинское</w:t>
            </w:r>
            <w:proofErr w:type="spellEnd"/>
            <w:r w:rsidRPr="00D217A1">
              <w:t xml:space="preserve"> сельское поселение Валдайского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Сушиловское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Тогодское</w:t>
            </w:r>
            <w:proofErr w:type="spellEnd"/>
            <w:r w:rsidRPr="00D217A1">
              <w:t xml:space="preserve"> сельское поселение Холмского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Травковское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Боровичского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Турбинное сельское поселение </w:t>
            </w:r>
            <w:proofErr w:type="spellStart"/>
            <w:r w:rsidRPr="00D217A1">
              <w:t>Окуловского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Усть-Волмское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Крестецкого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r w:rsidRPr="00D217A1">
              <w:t xml:space="preserve">Устюцкое сельское поселение </w:t>
            </w:r>
            <w:proofErr w:type="spellStart"/>
            <w:r w:rsidRPr="00D217A1">
              <w:t>Пестовского</w:t>
            </w:r>
            <w:proofErr w:type="spellEnd"/>
            <w:r w:rsidRPr="00D217A1">
              <w:t xml:space="preserve"> муниципального района</w:t>
            </w:r>
          </w:p>
          <w:p w:rsidR="00D217A1" w:rsidRPr="00D217A1" w:rsidRDefault="00D217A1">
            <w:pPr>
              <w:pStyle w:val="ConsPlusNormal"/>
            </w:pPr>
            <w:proofErr w:type="spellStart"/>
            <w:r w:rsidRPr="00D217A1">
              <w:t>Ямникское</w:t>
            </w:r>
            <w:proofErr w:type="spellEnd"/>
            <w:r w:rsidRPr="00D217A1">
              <w:t xml:space="preserve"> сельское поселение </w:t>
            </w:r>
            <w:proofErr w:type="spellStart"/>
            <w:r w:rsidRPr="00D217A1">
              <w:t>Демянского</w:t>
            </w:r>
            <w:proofErr w:type="spellEnd"/>
            <w:r w:rsidRPr="00D217A1">
              <w:t xml:space="preserve"> муниципального района</w:t>
            </w:r>
          </w:p>
        </w:tc>
        <w:tc>
          <w:tcPr>
            <w:tcW w:w="2268" w:type="dxa"/>
          </w:tcPr>
          <w:p w:rsidR="00D217A1" w:rsidRPr="00D217A1" w:rsidRDefault="00D217A1">
            <w:pPr>
              <w:pStyle w:val="ConsPlusNormal"/>
              <w:jc w:val="center"/>
            </w:pPr>
            <w:r w:rsidRPr="00D217A1">
              <w:t>0.1</w:t>
            </w:r>
          </w:p>
        </w:tc>
      </w:tr>
    </w:tbl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Title"/>
        <w:ind w:firstLine="540"/>
        <w:jc w:val="both"/>
        <w:outlineLvl w:val="0"/>
      </w:pPr>
      <w:r w:rsidRPr="00D217A1">
        <w:t xml:space="preserve">Статья 3. Признание </w:t>
      </w:r>
      <w:proofErr w:type="gramStart"/>
      <w:r w:rsidRPr="00D217A1">
        <w:t>утратившими</w:t>
      </w:r>
      <w:proofErr w:type="gramEnd"/>
      <w:r w:rsidRPr="00D217A1">
        <w:t xml:space="preserve"> силу областных законов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ind w:firstLine="540"/>
        <w:jc w:val="both"/>
      </w:pPr>
      <w:r w:rsidRPr="00D217A1">
        <w:t>Признать утратившими силу следующие областные законы:</w:t>
      </w:r>
    </w:p>
    <w:p w:rsidR="00D217A1" w:rsidRPr="00D217A1" w:rsidRDefault="00D217A1">
      <w:pPr>
        <w:pStyle w:val="ConsPlusNormal"/>
        <w:spacing w:before="220"/>
        <w:ind w:firstLine="540"/>
        <w:jc w:val="both"/>
      </w:pPr>
      <w:r w:rsidRPr="00D217A1">
        <w:t>1) от 30.04.2009 № 523-ОЗ "Об упрощенной системе налогообложения на основе патента" (газета "Новгородские ведомости" от 06.05.2009);</w:t>
      </w:r>
    </w:p>
    <w:p w:rsidR="00D217A1" w:rsidRPr="00D217A1" w:rsidRDefault="00D217A1">
      <w:pPr>
        <w:pStyle w:val="ConsPlusNormal"/>
        <w:spacing w:before="220"/>
        <w:ind w:firstLine="540"/>
        <w:jc w:val="both"/>
      </w:pPr>
      <w:r w:rsidRPr="00D217A1">
        <w:t>2) от 30.05.2011 № 999-ОЗ "О внесении и</w:t>
      </w:r>
      <w:bookmarkStart w:id="5" w:name="_GoBack"/>
      <w:bookmarkEnd w:id="5"/>
      <w:r w:rsidRPr="00D217A1">
        <w:t>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Title"/>
        <w:ind w:firstLine="540"/>
        <w:jc w:val="both"/>
        <w:outlineLvl w:val="0"/>
      </w:pPr>
      <w:r w:rsidRPr="00D217A1">
        <w:t>Статья 4. Вступление в силу настоящего областного закона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ind w:firstLine="540"/>
        <w:jc w:val="both"/>
      </w:pPr>
      <w:r w:rsidRPr="00D217A1"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D217A1" w:rsidRPr="00D217A1" w:rsidRDefault="00D217A1">
      <w:pPr>
        <w:pStyle w:val="ConsPlusNormal"/>
        <w:jc w:val="both"/>
      </w:pPr>
    </w:p>
    <w:p w:rsidR="00D217A1" w:rsidRPr="00D217A1" w:rsidRDefault="00D217A1">
      <w:pPr>
        <w:pStyle w:val="ConsPlusNormal"/>
        <w:jc w:val="right"/>
      </w:pPr>
      <w:r w:rsidRPr="00D217A1">
        <w:t>Губернатор области</w:t>
      </w:r>
    </w:p>
    <w:p w:rsidR="00D217A1" w:rsidRPr="00D217A1" w:rsidRDefault="00D217A1">
      <w:pPr>
        <w:pStyle w:val="ConsPlusNormal"/>
        <w:jc w:val="right"/>
      </w:pPr>
      <w:r w:rsidRPr="00D217A1">
        <w:t>С.Г.МИТИН</w:t>
      </w:r>
    </w:p>
    <w:p w:rsidR="00D217A1" w:rsidRPr="00D217A1" w:rsidRDefault="00D217A1">
      <w:pPr>
        <w:pStyle w:val="ConsPlusNormal"/>
      </w:pPr>
      <w:r w:rsidRPr="00D217A1">
        <w:t>Великий Новгород</w:t>
      </w:r>
    </w:p>
    <w:p w:rsidR="00D217A1" w:rsidRPr="00D217A1" w:rsidRDefault="00D217A1">
      <w:pPr>
        <w:pStyle w:val="ConsPlusNormal"/>
        <w:spacing w:before="220"/>
      </w:pPr>
      <w:r w:rsidRPr="00D217A1">
        <w:t>31 октября 2012 года</w:t>
      </w:r>
    </w:p>
    <w:p w:rsidR="00D217A1" w:rsidRPr="00D217A1" w:rsidRDefault="00D217A1">
      <w:pPr>
        <w:pStyle w:val="ConsPlusNormal"/>
        <w:spacing w:before="220"/>
      </w:pPr>
      <w:r w:rsidRPr="00D217A1">
        <w:t>№ 149-ОЗ</w:t>
      </w:r>
    </w:p>
    <w:sectPr w:rsidR="00D217A1" w:rsidRPr="00D217A1" w:rsidSect="00D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1"/>
    <w:rsid w:val="001C5366"/>
    <w:rsid w:val="00D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1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7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1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7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2ABC837AEDE03DA41AD7A9D74B699FBD3A8B4B98559C52C55B898C12F4406EB96FFBADDD5A106E1433898A2F94DDF8E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4734</Words>
  <Characters>26987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Статья 1. Общие положения</vt:lpstr>
      <vt:lpstr>Статья 2. Размеры потенциально возможного к получению индивидуальным предпринима</vt:lpstr>
      <vt:lpstr>Статья 3. Признание утратившими силу областных законов</vt:lpstr>
      <vt:lpstr>Статья 4. Вступление в силу настоящего областного закона</vt:lpstr>
    </vt:vector>
  </TitlesOfParts>
  <Company/>
  <LinksUpToDate>false</LinksUpToDate>
  <CharactersWithSpaces>31658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2021-05-26T07:04:00Z</dcterms:created>
  <dcterms:modified xsi:type="dcterms:W3CDTF">2021-05-26T07:07:00Z</dcterms:modified>
</cp:coreProperties>
</file>